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 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9/11.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9/11,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FPNS.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non-fatal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FPNS.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 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 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firetrucks.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 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frozen.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FPNS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inspectors,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 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FPNS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old-fashioned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FPNS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1,356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Pamela 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FSRI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fsri.org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combustion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ingenuity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lithium-ion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week-long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AGFG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adjacent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geometry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gypsum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nozzles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synthetics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semiconductors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semiconductor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Podunk,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Iowa.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two-to-three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toda,y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Indianapolis,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battalion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Montgomery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glimpse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20-story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Arizona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micro-mobility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exponentially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cross-disciplinary.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lithium-ion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lithium-ion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razor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Dr. Steve Kerber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Mark Peterson - Host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fema.gov/podcast.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