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Matranga,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backbone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backbone,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backbone.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counterparts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chainsaws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bifurcation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$42,500,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subsequent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macroeconomics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Puerto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evacuated."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exacerbating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exacerbate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retraumatization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three-step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180-day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rulemaking.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lengthy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inquiries.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disasterassistance.gov,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1-800-621-FEMA,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disasterassistance.gov,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800-621-FEMA.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TurboTax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cascading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$750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expedite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bifurcated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geospatial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expedite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relocate.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evacuated.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expedite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taxpayer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expediting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landlords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30-unit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re-traumatizing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underpayment.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$42,500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$80,000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ineligible.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$80,000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sanitary.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plywood."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handyman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hurricane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habitability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unintentionally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misconceptions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legitimate.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willy-nilly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800-621-FEMA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"Finally."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non-governmental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 Matranga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perseverance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Peterson - 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fema.gov/podcast.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